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ind w:left="638" w:leftChars="1" w:hanging="636" w:hangingChars="199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widowControl/>
        <w:adjustRightInd w:val="0"/>
        <w:snapToGrid w:val="0"/>
        <w:spacing w:before="312" w:beforeLines="100" w:after="312" w:afterLines="100" w:line="560" w:lineRule="exact"/>
        <w:ind w:left="877" w:leftChars="1" w:hanging="875" w:hangingChars="199"/>
        <w:jc w:val="center"/>
        <w:rPr>
          <w:rFonts w:ascii="方正小标宋简体" w:hAnsi="方正小标宋简体" w:eastAsia="方正小标宋简体" w:cs="仿宋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2022年二级造价工程师线上培训课程列表</w:t>
      </w:r>
    </w:p>
    <w:tbl>
      <w:tblPr>
        <w:tblStyle w:val="3"/>
        <w:tblW w:w="916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5700"/>
        <w:gridCol w:w="1616"/>
        <w:gridCol w:w="1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5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课程内容</w:t>
            </w: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课程类型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知识体系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业务范围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工程造价管理新技术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技术类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装配式建筑应用施工工艺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技术类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海绵城市建设施工技术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技术类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城市地下管廊设计与施工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技术类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BIM技术在施工过程造价控制中的应用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技术类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综合咨询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新计价形势下的合同管理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法律合同类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职场人士必知的法律常识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法律合同类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关于劳动合同，你要知道的那些事儿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法律合同类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《社会保险法》解读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法律合同类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法律护航造价管理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法律合同类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经济鉴证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建设工程索赔与反索赔实务问题研究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法律合同类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经济鉴证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工程造价法律政策与争议解决实务注意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法律合同类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经济鉴证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PPT工作报告设计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《道德经》的幸福智慧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新时代专业技术人员新理念素养提升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如何成为优秀职业人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如何快速融入企业文化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有效沟通技巧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沟通的艺术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专业技术人员沟通与协调能力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工程造价概论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施工阶段造价管控课程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综合咨询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水利工程概估算编制注意事项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综合咨询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工程招标投标及其对合同价款结算的影响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综合咨询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工程造价专业人才培养体系及行业改革背景下的人才发展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管理类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综合咨询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工程造价信息化发展研究报告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信息化类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综合咨询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0000600000000000000"/>
    <w:charset w:val="86"/>
    <w:family w:val="auto"/>
    <w:pitch w:val="default"/>
    <w:sig w:usb0="00000000" w:usb1="00000000" w:usb2="00000012" w:usb3="00000000" w:csb0="0016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7D6D60"/>
    <w:rsid w:val="237D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2022-03-14T08:53:00Z</dcterms:created>
  <dc:creator>Rules°</dc:creator>
  <cp:lastModifiedBy>Rules°</cp:lastModifiedBy>
  <dcterms:modified xsi:type="dcterms:W3CDTF">2022-03-14T08:54:45Z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502C47C476A64FFBAD4595B3CBB35831</vt:lpwstr>
  </property>
</Properties>
</file>